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4"/>
                <w:szCs w:val="34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[Phone · Email · Website]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Fee structure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Academic year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Notice date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Approved on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</w:tr>
    </w:tbl>
    <w:p>
      <w:pPr>
        <w:spacing w:after="312" w:before="0"/>
        <w:rPr>
          <w:sz w:val="2"/>
          <w:szCs w:val="2"/>
        </w:rPr>
      </w:pPr>
    </w:p>
    <w:p>
      <w:pPr>
        <w:keepNext/>
        <w:pBdr>
          <w:bottom w:val="single" w:color="D3DAE4" w:sz="4" w:space="2"/>
        </w:pBdr>
        <w:spacing w:after="80" w:before="0"/>
      </w:pPr>
      <w:r>
        <w:rPr>
          <w:rFonts w:ascii="Calibri" w:cs="Calibri" w:eastAsia="Calibri" w:hAnsi="Calibri"/>
          <w:b/>
          <w:bCs/>
          <w:caps/>
          <w:color w:val="0B1222"/>
          <w:spacing w:val="20"/>
          <w:sz w:val="24"/>
          <w:szCs w:val="24"/>
        </w:rPr>
        <w:t xml:space="preserve">Fees for the year, by class (₹)</w:t>
      </w:r>
    </w:p>
    <w:p>
      <w:pPr>
        <w:keepNext/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50"/>
        <w:gridCol w:w="1855"/>
        <w:gridCol w:w="1855"/>
        <w:gridCol w:w="1855"/>
        <w:gridCol w:w="1991"/>
      </w:tblGrid>
      <w:tr>
        <w:trPr>
          <w:cantSplit/>
          <w:tblHeader/>
        </w:trPr>
        <w:tc>
          <w:tcPr>
            <w:tcW w:type="dxa" w:w="265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Class</w:t>
            </w: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Tuition fee, a month</w:t>
            </w: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Annual charges, a year</w:t>
            </w: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Examination fee, a half-year</w:t>
            </w:r>
          </w:p>
        </w:tc>
        <w:tc>
          <w:tcPr>
            <w:tcW w:type="dxa" w:w="199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Total for the year</w:t>
            </w:r>
          </w:p>
        </w:tc>
      </w:tr>
      <w:tr>
        <w:trPr>
          <w:cantSplit/>
          <w:trHeight w:val="408" w:hRule="atLeast"/>
        </w:trPr>
        <w:tc>
          <w:tcPr>
            <w:tcW w:type="dxa" w:w="265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99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265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99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265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99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265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99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265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99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2650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8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  <w:tc>
          <w:tcPr>
            <w:tcW w:type="dxa" w:w="1991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</w:tbl>
    <w:p>
      <w:pPr>
        <w:spacing w:after="312" w:before="0"/>
        <w:rPr>
          <w:sz w:val="2"/>
          <w:szCs w:val="2"/>
        </w:rPr>
      </w:pPr>
    </w:p>
    <w:p>
      <w:pPr>
        <w:keepNext/>
        <w:pBdr>
          <w:bottom w:val="single" w:color="D3DAE4" w:sz="4" w:space="2"/>
        </w:pBdr>
        <w:spacing w:after="80" w:before="0"/>
      </w:pPr>
      <w:r>
        <w:rPr>
          <w:rFonts w:ascii="Calibri" w:cs="Calibri" w:eastAsia="Calibri" w:hAnsi="Calibri"/>
          <w:b/>
          <w:bCs/>
          <w:caps/>
          <w:color w:val="0B1222"/>
          <w:spacing w:val="20"/>
          <w:sz w:val="24"/>
          <w:szCs w:val="24"/>
        </w:rPr>
        <w:t xml:space="preserve">Charged once, for a new student (₹)</w:t>
      </w:r>
    </w:p>
    <w:p>
      <w:pPr>
        <w:keepNext/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83"/>
        <w:gridCol w:w="5798"/>
        <w:gridCol w:w="1625"/>
      </w:tblGrid>
      <w:tr>
        <w:trPr>
          <w:cantSplit/>
          <w:tblHeader/>
        </w:trPr>
        <w:tc>
          <w:tcPr>
            <w:tcW w:type="dxa" w:w="278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Charge</w:t>
            </w:r>
          </w:p>
        </w:tc>
        <w:tc>
          <w:tcPr>
            <w:tcW w:type="dxa" w:w="579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When</w:t>
            </w: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Amount</w:t>
            </w:r>
          </w:p>
        </w:tc>
      </w:tr>
      <w:tr>
        <w:trPr>
          <w:cantSplit/>
          <w:trHeight w:val="408" w:hRule="atLeast"/>
        </w:trPr>
        <w:tc>
          <w:tcPr>
            <w:tcW w:type="dxa" w:w="278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Registration fee</w:t>
            </w:r>
          </w:p>
        </w:tc>
        <w:tc>
          <w:tcPr>
            <w:tcW w:type="dxa" w:w="579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With the application form</w:t>
            </w: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278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Admission fee</w:t>
            </w:r>
          </w:p>
        </w:tc>
        <w:tc>
          <w:tcPr>
            <w:tcW w:type="dxa" w:w="579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On admission</w:t>
            </w: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  <w:tr>
        <w:trPr>
          <w:cantSplit/>
          <w:trHeight w:val="408" w:hRule="atLeast"/>
        </w:trPr>
        <w:tc>
          <w:tcPr>
            <w:tcW w:type="dxa" w:w="2783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Caution money</w:t>
            </w:r>
          </w:p>
        </w:tc>
        <w:tc>
          <w:tcPr>
            <w:tcW w:type="dxa" w:w="579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On admission. Refunded when the student leaves.</w:t>
            </w:r>
          </w:p>
        </w:tc>
        <w:tc>
          <w:tcPr>
            <w:tcW w:type="dxa" w:w="162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right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5692"/>
      </w:tblGrid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Instalments and due dates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Late payment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Concessions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Transport fee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456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9"/>
        <w:gridCol w:w="226"/>
        <w:gridCol w:w="4990"/>
      </w:tblGrid>
      <w:tr>
        <w:trPr>
          <w:trHeight w:val="736" w:hRule="atLeast"/>
        </w:trPr>
        <w:tc>
          <w:tcPr>
            <w:tcW w:type="dxa" w:w="4989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499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4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Principal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4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Chairperson, School Management Committee</w:t>
            </w:r>
          </w:p>
        </w:tc>
      </w:tr>
    </w:tbl>
    <w:p>
      <w:pPr>
        <w:pBdr>
          <w:left w:val="single" w:color="D3DAE4" w:sz="12" w:space="8"/>
        </w:pBdr>
        <w:spacing w:after="0" w:before="60"/>
      </w:pPr>
      <w:r>
        <w:rPr>
          <w:rFonts w:ascii="Calibri" w:cs="Calibri" w:eastAsia="Calibri" w:hAnsi="Calibri"/>
          <w:i/>
          <w:iCs/>
          <w:color w:val="5C6880"/>
          <w:sz w:val="20"/>
          <w:szCs w:val="20"/>
        </w:rPr>
        <w:t xml:space="preserve">No fee other than those on this notice will be charged during the year.</w:t>
      </w:r>
    </w:p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fee-structure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fee structure</dc:title>
  <dc:creator>ProEMS</dc:creator>
  <dc:description>Free template from proems.in: https://www.proems.in/templates/fee-structure-format/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